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170CFC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E55CAD">
        <w:rPr>
          <w:rFonts w:ascii="Verdana" w:hAnsi="Verdana"/>
          <w:sz w:val="18"/>
          <w:szCs w:val="18"/>
        </w:rPr>
        <w:t>„Oprava GPK na trati č. 170 Kařízek – Plzeň – Mariánské Lázně“</w:t>
      </w:r>
      <w:r w:rsidR="00E55CAD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BD4375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4206DB" w:rsidRDefault="004206DB" w:rsidP="004206D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BD4375" w:rsidRPr="009618D3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BD4375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55CA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55CAD" w:rsidRPr="00E55CA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0CFC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06DB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245AC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43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CAD"/>
    <w:rsid w:val="00E55FE0"/>
    <w:rsid w:val="00E7211F"/>
    <w:rsid w:val="00E876D3"/>
    <w:rsid w:val="00E90015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7E1E935"/>
  <w15:docId w15:val="{B8AA3E74-153C-436D-B27C-1BD6CE28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3E72F3-F009-4CD7-B05A-AB463038F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8</cp:revision>
  <cp:lastPrinted>2016-08-01T07:54:00Z</cp:lastPrinted>
  <dcterms:created xsi:type="dcterms:W3CDTF">2020-01-31T12:38:00Z</dcterms:created>
  <dcterms:modified xsi:type="dcterms:W3CDTF">2020-08-19T07:19:00Z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